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8699099">
      <w:pPr>
        <w:pStyle w:val="2"/>
        <w:bidi w:val="0"/>
        <w:jc w:val="center"/>
        <w:rPr>
          <w:rFonts w:hint="eastAsia"/>
          <w:lang w:val="en-US" w:eastAsia="zh-CN"/>
        </w:rPr>
      </w:pPr>
      <w:r>
        <w:rPr>
          <w:rFonts w:hint="eastAsia"/>
          <w:lang w:val="en-US" w:eastAsia="zh-CN"/>
        </w:rPr>
        <w:t>购销交易流程备忘录</w:t>
      </w:r>
    </w:p>
    <w:p w14:paraId="2B401E1B">
      <w:pPr>
        <w:rPr>
          <w:rFonts w:hint="eastAsia"/>
          <w:lang w:val="en-US" w:eastAsia="zh-CN"/>
        </w:rPr>
      </w:pPr>
    </w:p>
    <w:p w14:paraId="5376E63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4"/>
          <w:szCs w:val="24"/>
          <w:lang w:val="en-US" w:eastAsia="zh-CN"/>
        </w:rPr>
      </w:pPr>
      <w:r>
        <w:rPr>
          <w:rFonts w:hint="eastAsia"/>
          <w:sz w:val="24"/>
          <w:szCs w:val="24"/>
          <w:lang w:val="en-US" w:eastAsia="zh-CN"/>
        </w:rPr>
        <w:t>甲方（供货方）：</w:t>
      </w:r>
    </w:p>
    <w:p w14:paraId="01F22B6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4"/>
          <w:szCs w:val="24"/>
          <w:lang w:val="en-US" w:eastAsia="zh-CN"/>
        </w:rPr>
      </w:pPr>
    </w:p>
    <w:p w14:paraId="11DFFC0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4"/>
          <w:szCs w:val="24"/>
          <w:lang w:val="en-US" w:eastAsia="zh-CN"/>
        </w:rPr>
      </w:pPr>
      <w:r>
        <w:rPr>
          <w:rFonts w:hint="eastAsia"/>
          <w:sz w:val="24"/>
          <w:szCs w:val="24"/>
          <w:lang w:val="en-US" w:eastAsia="zh-CN"/>
        </w:rPr>
        <w:t>乙方（采购方）：</w:t>
      </w:r>
    </w:p>
    <w:p w14:paraId="34AD6B5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4"/>
          <w:szCs w:val="24"/>
          <w:lang w:val="en-US" w:eastAsia="zh-CN"/>
        </w:rPr>
      </w:pPr>
    </w:p>
    <w:p w14:paraId="3D12A44C">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sz w:val="24"/>
          <w:szCs w:val="24"/>
          <w:lang w:val="en-US" w:eastAsia="zh-CN"/>
        </w:rPr>
      </w:pPr>
      <w:r>
        <w:rPr>
          <w:rFonts w:hint="eastAsia"/>
          <w:sz w:val="24"/>
          <w:szCs w:val="24"/>
          <w:lang w:val="en-US" w:eastAsia="zh-CN"/>
        </w:rPr>
        <w:t>1、乙方如属于国务院国资委全资控股的三级以上央国企直接采购方，可免除看手续和实时连线看大货的押金（交易保证金），来甲方公司接洽时需带齐乙方资质和相关手续文件（带有甲方公章的采购函、授权书等）。面签时可以将双方协商好的正式合同文档回传甲方单位签字盖章扫描发回，甲方接到后打印签字盖章，合同即生效，即刻按流程正式交易。</w:t>
      </w:r>
    </w:p>
    <w:p w14:paraId="38C4D024">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sz w:val="24"/>
          <w:szCs w:val="24"/>
          <w:lang w:val="en-US" w:eastAsia="zh-CN"/>
        </w:rPr>
      </w:pPr>
      <w:r>
        <w:rPr>
          <w:rFonts w:hint="eastAsia"/>
          <w:sz w:val="24"/>
          <w:szCs w:val="24"/>
          <w:lang w:val="en-US" w:eastAsia="zh-CN"/>
        </w:rPr>
        <w:t>如乙方需纸质合同存档备案，在交易过程中以互相邮寄签字盖章方式后补，不影响正常交易。</w:t>
      </w:r>
    </w:p>
    <w:p w14:paraId="4313BFE1">
      <w:pPr>
        <w:keepNext w:val="0"/>
        <w:keepLines w:val="0"/>
        <w:pageBreakBefore w:val="0"/>
        <w:widowControl w:val="0"/>
        <w:numPr>
          <w:ilvl w:val="0"/>
          <w:numId w:val="1"/>
        </w:numPr>
        <w:kinsoku/>
        <w:wordWrap/>
        <w:overflowPunct/>
        <w:topLinePunct w:val="0"/>
        <w:autoSpaceDE/>
        <w:autoSpaceDN/>
        <w:bidi w:val="0"/>
        <w:adjustRightInd/>
        <w:snapToGrid/>
        <w:spacing w:line="360" w:lineRule="auto"/>
        <w:ind w:firstLine="420"/>
        <w:textAlignment w:val="auto"/>
        <w:rPr>
          <w:rFonts w:hint="eastAsia"/>
          <w:sz w:val="24"/>
          <w:szCs w:val="24"/>
          <w:lang w:val="en-US" w:eastAsia="zh-CN"/>
        </w:rPr>
      </w:pPr>
      <w:r>
        <w:rPr>
          <w:rFonts w:hint="eastAsia"/>
          <w:sz w:val="24"/>
          <w:szCs w:val="24"/>
          <w:lang w:val="en-US" w:eastAsia="zh-CN"/>
        </w:rPr>
        <w:t>乙方如果属于国务院国资委全资控股的三级以上央国企代采平台公司，在直采央国企采购负责人到场，出示上述资质和手续文件外，还需要出示央国企对乙方的采购委托书。否则无法免除交易保证金。</w:t>
      </w:r>
    </w:p>
    <w:p w14:paraId="51A77FBA">
      <w:pPr>
        <w:keepNext w:val="0"/>
        <w:keepLines w:val="0"/>
        <w:pageBreakBefore w:val="0"/>
        <w:widowControl w:val="0"/>
        <w:numPr>
          <w:ilvl w:val="0"/>
          <w:numId w:val="1"/>
        </w:numPr>
        <w:kinsoku/>
        <w:wordWrap/>
        <w:overflowPunct/>
        <w:topLinePunct w:val="0"/>
        <w:autoSpaceDE/>
        <w:autoSpaceDN/>
        <w:bidi w:val="0"/>
        <w:adjustRightInd/>
        <w:snapToGrid/>
        <w:spacing w:line="360" w:lineRule="auto"/>
        <w:ind w:firstLine="420"/>
        <w:textAlignment w:val="auto"/>
        <w:rPr>
          <w:rFonts w:hint="default"/>
          <w:sz w:val="24"/>
          <w:szCs w:val="24"/>
          <w:lang w:val="en-US" w:eastAsia="zh-CN"/>
        </w:rPr>
      </w:pPr>
      <w:r>
        <w:rPr>
          <w:rFonts w:hint="eastAsia"/>
          <w:sz w:val="24"/>
          <w:szCs w:val="24"/>
          <w:lang w:val="en-US" w:eastAsia="zh-CN"/>
        </w:rPr>
        <w:t>乙方如果不符合上述条件，则需要首先与甲方签署《互信建设协议》，并按协议对公转账甲方贰拾万元交易保证金，方可进入查验货物手续和实时连线看大货、签约交易的流程。</w:t>
      </w:r>
    </w:p>
    <w:p w14:paraId="58987105">
      <w:pPr>
        <w:keepNext w:val="0"/>
        <w:keepLines w:val="0"/>
        <w:pageBreakBefore w:val="0"/>
        <w:widowControl w:val="0"/>
        <w:numPr>
          <w:ilvl w:val="0"/>
          <w:numId w:val="1"/>
        </w:numPr>
        <w:kinsoku/>
        <w:wordWrap/>
        <w:overflowPunct/>
        <w:topLinePunct w:val="0"/>
        <w:autoSpaceDE/>
        <w:autoSpaceDN/>
        <w:bidi w:val="0"/>
        <w:adjustRightInd/>
        <w:snapToGrid/>
        <w:spacing w:line="360" w:lineRule="auto"/>
        <w:ind w:firstLine="420"/>
        <w:textAlignment w:val="auto"/>
        <w:rPr>
          <w:rFonts w:hint="default"/>
          <w:sz w:val="24"/>
          <w:szCs w:val="24"/>
          <w:lang w:val="en-US" w:eastAsia="zh-CN"/>
        </w:rPr>
      </w:pPr>
      <w:r>
        <w:rPr>
          <w:rFonts w:hint="eastAsia"/>
          <w:sz w:val="24"/>
          <w:szCs w:val="24"/>
          <w:lang w:val="en-US" w:eastAsia="zh-CN"/>
        </w:rPr>
        <w:t>目前国内行情价格每日变动巨大，甲乙双方在前期商定好交易价格后七个日内不前来甲方公司接洽交易，原商定的交易价格无效</w:t>
      </w:r>
      <w:bookmarkStart w:id="0" w:name="_GoBack"/>
      <w:bookmarkEnd w:id="0"/>
      <w:r>
        <w:rPr>
          <w:rFonts w:hint="eastAsia"/>
          <w:sz w:val="24"/>
          <w:szCs w:val="24"/>
          <w:lang w:val="en-US" w:eastAsia="zh-CN"/>
        </w:rPr>
        <w:t>。</w:t>
      </w:r>
    </w:p>
    <w:p w14:paraId="16FE21E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textAlignment w:val="auto"/>
        <w:rPr>
          <w:rFonts w:hint="eastAsia"/>
          <w:sz w:val="24"/>
          <w:szCs w:val="24"/>
          <w:lang w:val="en-US" w:eastAsia="zh-CN"/>
        </w:rPr>
      </w:pPr>
      <w:r>
        <w:rPr>
          <w:rFonts w:hint="eastAsia"/>
          <w:sz w:val="24"/>
          <w:szCs w:val="24"/>
          <w:lang w:val="en-US" w:eastAsia="zh-CN"/>
        </w:rPr>
        <w:t>特此说明，以此备忘录为交易前的必要条件！</w:t>
      </w:r>
    </w:p>
    <w:p w14:paraId="0F7420C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textAlignment w:val="auto"/>
        <w:rPr>
          <w:rFonts w:hint="default"/>
          <w:sz w:val="24"/>
          <w:szCs w:val="24"/>
          <w:lang w:val="en-US" w:eastAsia="zh-CN"/>
        </w:rPr>
      </w:pPr>
    </w:p>
    <w:p w14:paraId="51FFE7F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textAlignment w:val="auto"/>
        <w:rPr>
          <w:rFonts w:hint="eastAsia"/>
          <w:sz w:val="24"/>
          <w:szCs w:val="24"/>
          <w:lang w:val="en-US" w:eastAsia="zh-CN"/>
        </w:rPr>
      </w:pPr>
      <w:r>
        <w:rPr>
          <w:rFonts w:hint="eastAsia"/>
          <w:sz w:val="24"/>
          <w:szCs w:val="24"/>
          <w:lang w:val="en-US" w:eastAsia="zh-CN"/>
        </w:rPr>
        <w:t>甲方代表：                                      乙方代表：</w:t>
      </w:r>
    </w:p>
    <w:p w14:paraId="35F7E93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textAlignment w:val="auto"/>
        <w:rPr>
          <w:rFonts w:hint="eastAsia"/>
          <w:sz w:val="24"/>
          <w:szCs w:val="24"/>
          <w:lang w:val="en-US" w:eastAsia="zh-CN"/>
        </w:rPr>
      </w:pPr>
    </w:p>
    <w:p w14:paraId="6B0F4C2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textAlignment w:val="auto"/>
        <w:rPr>
          <w:rFonts w:hint="eastAsia"/>
          <w:sz w:val="24"/>
          <w:szCs w:val="24"/>
          <w:lang w:val="en-US" w:eastAsia="zh-CN"/>
        </w:rPr>
      </w:pPr>
    </w:p>
    <w:p w14:paraId="0C68861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textAlignment w:val="auto"/>
        <w:rPr>
          <w:rFonts w:hint="eastAsia"/>
          <w:sz w:val="24"/>
          <w:szCs w:val="24"/>
          <w:lang w:val="en-US" w:eastAsia="zh-CN"/>
        </w:rPr>
      </w:pPr>
    </w:p>
    <w:p w14:paraId="6D17BE8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textAlignment w:val="auto"/>
        <w:rPr>
          <w:rFonts w:hint="default"/>
          <w:sz w:val="24"/>
          <w:szCs w:val="24"/>
          <w:lang w:val="en-US" w:eastAsia="zh-CN"/>
        </w:rPr>
      </w:pPr>
      <w:r>
        <w:rPr>
          <w:rFonts w:hint="eastAsia"/>
          <w:sz w:val="24"/>
          <w:szCs w:val="24"/>
          <w:lang w:val="en-US" w:eastAsia="zh-CN"/>
        </w:rPr>
        <w:t xml:space="preserve"> 2026年3月  日                              2026年3月  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788E727"/>
    <w:multiLevelType w:val="singleLevel"/>
    <w:tmpl w:val="4788E727"/>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val="bestFit" w:percent="187"/>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F5C4868"/>
    <w:rsid w:val="2C2E4139"/>
    <w:rsid w:val="5F5C4868"/>
    <w:rsid w:val="62AA446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484</Words>
  <Characters>490</Characters>
  <Lines>0</Lines>
  <Paragraphs>0</Paragraphs>
  <TotalTime>13</TotalTime>
  <ScaleCrop>false</ScaleCrop>
  <LinksUpToDate>false</LinksUpToDate>
  <CharactersWithSpaces>563</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2026-03-13T02:50:00Z</dcterms:created>
  <dc:creator>云游天下</dc:creator>
  <cp:lastModifiedBy>云游天下</cp:lastModifiedBy>
  <dcterms:modified xsi:type="dcterms:W3CDTF">2026-03-13T03:57:48Z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DE015A7F87DD49C487704548B335872C_13</vt:lpwstr>
  </property>
  <property fmtid="{D5CDD505-2E9C-101B-9397-08002B2CF9AE}" pid="4" name="KSOTemplateDocerSaveRecord">
    <vt:lpwstr>eyJoZGlkIjoiNzBiZmQzM2VlMWJiZTE1YmU1MmE2ODBmMzEzYzMxMDIiLCJ1c2VySWQiOiI0MDA0OTE2ODIifQ==</vt:lpwstr>
  </property>
</Properties>
</file>